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png" ContentType="image/png"/>
  <Override PartName="/word/media/image11.png" ContentType="image/png"/>
  <Override PartName="/word/media/image7.png" ContentType="image/png"/>
  <Override PartName="/word/media/image12.png" ContentType="image/png"/>
  <Override PartName="/word/media/image8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ind w:left="57" w:right="0" w:firstLine="624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СУБД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numPr>
          <w:ilvl w:val="0"/>
          <w:numId w:val="1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Черты ИС 1980:</w:t>
      </w:r>
    </w:p>
    <w:p>
      <w:pPr>
        <w:pStyle w:val="Normal"/>
        <w:numPr>
          <w:ilvl w:val="0"/>
          <w:numId w:val="1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основа ИС — база данных</w:t>
      </w:r>
    </w:p>
    <w:p>
      <w:pPr>
        <w:pStyle w:val="Normal"/>
        <w:numPr>
          <w:ilvl w:val="0"/>
          <w:numId w:val="1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— прикладные программы и СУБД</w:t>
      </w:r>
    </w:p>
    <w:p>
      <w:pPr>
        <w:pStyle w:val="Normal"/>
        <w:numPr>
          <w:ilvl w:val="0"/>
          <w:numId w:val="1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средства разработки ИС; процедурные языки программирования +Sql, QBE</w:t>
      </w:r>
    </w:p>
    <w:p>
      <w:pPr>
        <w:pStyle w:val="Normal"/>
        <w:numPr>
          <w:ilvl w:val="0"/>
          <w:numId w:val="1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Архитектура ИС:</w:t>
      </w:r>
    </w:p>
    <w:p>
      <w:pPr>
        <w:pStyle w:val="Normal"/>
        <w:numPr>
          <w:ilvl w:val="0"/>
          <w:numId w:val="2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Персональная локальная ИС</w:t>
      </w:r>
    </w:p>
    <w:p>
      <w:pPr>
        <w:pStyle w:val="Normal"/>
        <w:numPr>
          <w:ilvl w:val="0"/>
          <w:numId w:val="2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Централизованная БД с сетевым доступом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Первоначально БД создавались под особенности каждой отдельной программы или компании, общего языка запросов не было.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Функции БД:</w:t>
      </w:r>
    </w:p>
    <w:p>
      <w:pPr>
        <w:pStyle w:val="Normal"/>
        <w:numPr>
          <w:ilvl w:val="0"/>
          <w:numId w:val="3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хранение информации</w:t>
      </w:r>
    </w:p>
    <w:p>
      <w:pPr>
        <w:pStyle w:val="Normal"/>
        <w:numPr>
          <w:ilvl w:val="0"/>
          <w:numId w:val="3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преобразовывание информации и вычисление</w:t>
      </w:r>
    </w:p>
    <w:p>
      <w:pPr>
        <w:pStyle w:val="Normal"/>
        <w:numPr>
          <w:ilvl w:val="0"/>
          <w:numId w:val="3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удобный интерфейс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Этапы развития СУБД</w:t>
      </w:r>
    </w:p>
    <w:p>
      <w:pPr>
        <w:pStyle w:val="Normal"/>
        <w:numPr>
          <w:ilvl w:val="0"/>
          <w:numId w:val="4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большие ЭВМ, первые СУБД</w:t>
      </w:r>
    </w:p>
    <w:p>
      <w:pPr>
        <w:pStyle w:val="Normal"/>
        <w:numPr>
          <w:ilvl w:val="0"/>
          <w:numId w:val="4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эпоха ПК, настольные СУБД</w:t>
      </w:r>
    </w:p>
    <w:p>
      <w:pPr>
        <w:pStyle w:val="Normal"/>
        <w:numPr>
          <w:ilvl w:val="0"/>
          <w:numId w:val="4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распределенные БД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БД на больших ЭВМ:</w:t>
      </w:r>
    </w:p>
    <w:p>
      <w:pPr>
        <w:pStyle w:val="Normal"/>
        <w:numPr>
          <w:ilvl w:val="0"/>
          <w:numId w:val="5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Текстовые файлы с разделителями</w:t>
      </w:r>
    </w:p>
    <w:p>
      <w:pPr>
        <w:pStyle w:val="Normal"/>
        <w:numPr>
          <w:ilvl w:val="0"/>
          <w:numId w:val="5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Прикладная программа управляет структурой записи файла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Причины появления СУБД:</w:t>
      </w:r>
    </w:p>
    <w:p>
      <w:pPr>
        <w:pStyle w:val="Normal"/>
        <w:numPr>
          <w:ilvl w:val="0"/>
          <w:numId w:val="6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Высокая значимость данных в различных областях применения</w:t>
      </w:r>
    </w:p>
    <w:p>
      <w:pPr>
        <w:pStyle w:val="Normal"/>
        <w:numPr>
          <w:ilvl w:val="0"/>
          <w:numId w:val="6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Дублирование средств управления данными в каждом приложении</w:t>
      </w:r>
    </w:p>
    <w:p>
      <w:pPr>
        <w:pStyle w:val="Normal"/>
        <w:numPr>
          <w:ilvl w:val="0"/>
          <w:numId w:val="6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Высокая сложность создания приложений</w:t>
      </w:r>
    </w:p>
    <w:p>
      <w:pPr>
        <w:pStyle w:val="Normal"/>
        <w:numPr>
          <w:ilvl w:val="0"/>
          <w:numId w:val="6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Необходимость организации доступа к одним и тем же данным разным пользователям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Развитие СУБД и распространение ПК</w:t>
      </w:r>
    </w:p>
    <w:p>
      <w:pPr>
        <w:pStyle w:val="Normal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Высокая конкуренция между поставщиками СУБД</w:t>
      </w:r>
    </w:p>
    <w:p>
      <w:pPr>
        <w:pStyle w:val="Normal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mc:AlternateContent>
          <mc:Choice Requires="wps">
            <w:drawing>
              <wp:anchor behindDoc="0" distT="0" distB="0" distL="0" distR="0" simplePos="0" locked="0" layoutInCell="1" allowOverlap="1" relativeHeight="2">
                <wp:simplePos x="0" y="0"/>
                <wp:positionH relativeFrom="column">
                  <wp:posOffset>3069590</wp:posOffset>
                </wp:positionH>
                <wp:positionV relativeFrom="paragraph">
                  <wp:posOffset>26670</wp:posOffset>
                </wp:positionV>
                <wp:extent cx="374650" cy="374650"/>
                <wp:effectExtent l="0" t="0" r="0" b="0"/>
                <wp:wrapNone/>
                <wp:docPr id="1" name="Фигура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040" cy="37404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587" h="587">
                              <a:moveTo>
                                <a:pt x="146" y="0"/>
                              </a:moveTo>
                              <a:lnTo>
                                <a:pt x="146" y="439"/>
                              </a:lnTo>
                              <a:lnTo>
                                <a:pt x="0" y="439"/>
                              </a:lnTo>
                              <a:lnTo>
                                <a:pt x="293" y="586"/>
                              </a:lnTo>
                              <a:lnTo>
                                <a:pt x="586" y="439"/>
                              </a:lnTo>
                              <a:lnTo>
                                <a:pt x="439" y="439"/>
                              </a:lnTo>
                              <a:lnTo>
                                <a:pt x="439" y="0"/>
                              </a:lnTo>
                              <a:lnTo>
                                <a:pt x="146" y="0"/>
                              </a:lnTo>
                            </a:path>
                          </a:pathLst>
                        </a:custGeom>
                        <a:solidFill>
                          <a:srgbClr val="729fcf"/>
                        </a:solidFill>
                        <a:ln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</w:p>
    <w:p>
      <w:pPr>
        <w:pStyle w:val="Normal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Совершенствование desctop СУБД</w:t>
      </w:r>
    </w:p>
    <w:p>
      <w:pPr>
        <w:pStyle w:val="Normal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mc:AlternateContent>
          <mc:Choice Requires="wps">
            <w:drawing>
              <wp:anchor behindDoc="0" distT="0" distB="0" distL="0" distR="0" simplePos="0" locked="0" layoutInCell="1" allowOverlap="1" relativeHeight="3">
                <wp:simplePos x="0" y="0"/>
                <wp:positionH relativeFrom="column">
                  <wp:posOffset>3069590</wp:posOffset>
                </wp:positionH>
                <wp:positionV relativeFrom="paragraph">
                  <wp:posOffset>60960</wp:posOffset>
                </wp:positionV>
                <wp:extent cx="374650" cy="374650"/>
                <wp:effectExtent l="0" t="0" r="0" b="0"/>
                <wp:wrapNone/>
                <wp:docPr id="2" name="Фигура1_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040" cy="37404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587" h="587">
                              <a:moveTo>
                                <a:pt x="146" y="0"/>
                              </a:moveTo>
                              <a:lnTo>
                                <a:pt x="146" y="439"/>
                              </a:lnTo>
                              <a:lnTo>
                                <a:pt x="0" y="439"/>
                              </a:lnTo>
                              <a:lnTo>
                                <a:pt x="293" y="586"/>
                              </a:lnTo>
                              <a:lnTo>
                                <a:pt x="586" y="439"/>
                              </a:lnTo>
                              <a:lnTo>
                                <a:pt x="439" y="439"/>
                              </a:lnTo>
                              <a:lnTo>
                                <a:pt x="439" y="0"/>
                              </a:lnTo>
                              <a:lnTo>
                                <a:pt x="146" y="0"/>
                              </a:lnTo>
                            </a:path>
                          </a:pathLst>
                        </a:custGeom>
                        <a:solidFill>
                          <a:srgbClr val="729fcf"/>
                        </a:solidFill>
                        <a:ln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</w:p>
    <w:p>
      <w:pPr>
        <w:pStyle w:val="Normal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Улучшение быстродействия систем</w:t>
      </w:r>
    </w:p>
    <w:p>
      <w:pPr>
        <w:pStyle w:val="Normal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mc:AlternateContent>
          <mc:Choice Requires="wps">
            <w:drawing>
              <wp:anchor behindDoc="0" distT="0" distB="0" distL="0" distR="0" simplePos="0" locked="0" layoutInCell="1" allowOverlap="1" relativeHeight="4">
                <wp:simplePos x="0" y="0"/>
                <wp:positionH relativeFrom="column">
                  <wp:posOffset>3060065</wp:posOffset>
                </wp:positionH>
                <wp:positionV relativeFrom="paragraph">
                  <wp:posOffset>41910</wp:posOffset>
                </wp:positionV>
                <wp:extent cx="374650" cy="374650"/>
                <wp:effectExtent l="0" t="0" r="0" b="0"/>
                <wp:wrapNone/>
                <wp:docPr id="3" name="Фигура1_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040" cy="37404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587" h="587">
                              <a:moveTo>
                                <a:pt x="146" y="0"/>
                              </a:moveTo>
                              <a:lnTo>
                                <a:pt x="146" y="439"/>
                              </a:lnTo>
                              <a:lnTo>
                                <a:pt x="0" y="439"/>
                              </a:lnTo>
                              <a:lnTo>
                                <a:pt x="293" y="586"/>
                              </a:lnTo>
                              <a:lnTo>
                                <a:pt x="586" y="439"/>
                              </a:lnTo>
                              <a:lnTo>
                                <a:pt x="439" y="439"/>
                              </a:lnTo>
                              <a:lnTo>
                                <a:pt x="439" y="0"/>
                              </a:lnTo>
                              <a:lnTo>
                                <a:pt x="146" y="0"/>
                              </a:lnTo>
                            </a:path>
                          </a:pathLst>
                        </a:custGeom>
                        <a:solidFill>
                          <a:srgbClr val="729fcf"/>
                        </a:solidFill>
                        <a:ln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</w:p>
    <w:p>
      <w:pPr>
        <w:pStyle w:val="Normal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Снижение стоимости</w:t>
      </w:r>
    </w:p>
    <w:p>
      <w:pPr>
        <w:pStyle w:val="Normal"/>
        <w:numPr>
          <w:ilvl w:val="0"/>
          <w:numId w:val="7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СУБД рассчитаны на создание БД с монопольным доступом</w:t>
      </w:r>
    </w:p>
    <w:p>
      <w:pPr>
        <w:pStyle w:val="Normal"/>
        <w:numPr>
          <w:ilvl w:val="0"/>
          <w:numId w:val="7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СУБД предлагали инструментарий для разработки готовых приложений без программирования</w:t>
      </w:r>
    </w:p>
    <w:p>
      <w:pPr>
        <w:pStyle w:val="Normal"/>
        <w:numPr>
          <w:ilvl w:val="0"/>
          <w:numId w:val="7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Инструментальная среда состояла из готовых элементов приложения в виде шаблонов.</w:t>
      </w:r>
    </w:p>
    <w:p>
      <w:pPr>
        <w:pStyle w:val="Normal"/>
        <w:numPr>
          <w:ilvl w:val="0"/>
          <w:numId w:val="7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настольных СУБД поддерживались специфические языки манипулирования дынными</w:t>
      </w:r>
    </w:p>
    <w:p>
      <w:pPr>
        <w:pStyle w:val="Normal"/>
        <w:numPr>
          <w:ilvl w:val="0"/>
          <w:numId w:val="7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настольных СУБД отсутствовали средства поддержки ссылочной и структурной целостности БД</w:t>
      </w:r>
    </w:p>
    <w:p>
      <w:pPr>
        <w:pStyle w:val="Normal"/>
        <w:numPr>
          <w:ilvl w:val="0"/>
          <w:numId w:val="7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Примеры: СУБД Dbase, FoxPro, Clipper, Paradox.</w:t>
      </w:r>
    </w:p>
    <w:p>
      <w:pPr>
        <w:pStyle w:val="Normal"/>
        <w:bidi w:val="0"/>
        <w:ind w:left="72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DB2:</w:t>
      </w:r>
    </w:p>
    <w:p>
      <w:pPr>
        <w:pStyle w:val="Normal"/>
        <w:numPr>
          <w:ilvl w:val="0"/>
          <w:numId w:val="7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Начало 1970 — Эдгар Кодд теория реляционных БД</w:t>
      </w:r>
    </w:p>
    <w:p>
      <w:pPr>
        <w:pStyle w:val="Normal"/>
        <w:numPr>
          <w:ilvl w:val="0"/>
          <w:numId w:val="7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Oracle </w:t>
      </w:r>
    </w:p>
    <w:p>
      <w:pPr>
        <w:pStyle w:val="Normal"/>
        <w:numPr>
          <w:ilvl w:val="0"/>
          <w:numId w:val="7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Первая коммерческая СУБД с поддержкой языка запросов Sql</w:t>
      </w:r>
    </w:p>
    <w:p>
      <w:pPr>
        <w:pStyle w:val="Normal"/>
        <w:numPr>
          <w:ilvl w:val="0"/>
          <w:numId w:val="7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Выпускается под различные ОС</w:t>
      </w:r>
    </w:p>
    <w:p>
      <w:pPr>
        <w:pStyle w:val="Normal"/>
        <w:bidi w:val="0"/>
        <w:ind w:left="72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PostgreSQL:</w:t>
      </w:r>
    </w:p>
    <w:p>
      <w:pPr>
        <w:pStyle w:val="Normal"/>
        <w:numPr>
          <w:ilvl w:val="0"/>
          <w:numId w:val="7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Свободно распространяемый программный продукт с открытым исходным кодом</w:t>
      </w:r>
    </w:p>
    <w:p>
      <w:pPr>
        <w:pStyle w:val="Normal"/>
        <w:bidi w:val="0"/>
        <w:ind w:left="72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MySql</w:t>
      </w:r>
    </w:p>
    <w:p>
      <w:pPr>
        <w:pStyle w:val="Normal"/>
        <w:numPr>
          <w:ilvl w:val="0"/>
          <w:numId w:val="7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Свободная реляционная СУБД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АИС — автоматизированные информационная система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Основанные на знаниях:</w:t>
      </w:r>
    </w:p>
    <w:p>
      <w:pPr>
        <w:pStyle w:val="Normal"/>
        <w:numPr>
          <w:ilvl w:val="0"/>
          <w:numId w:val="8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экспертные системы(ЭС)</w:t>
      </w:r>
    </w:p>
    <w:p>
      <w:pPr>
        <w:pStyle w:val="Normal"/>
        <w:numPr>
          <w:ilvl w:val="0"/>
          <w:numId w:val="8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системы поддержки принятых решений(СППР)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основанные на данных:</w:t>
      </w:r>
    </w:p>
    <w:p>
      <w:pPr>
        <w:pStyle w:val="Normal"/>
        <w:numPr>
          <w:ilvl w:val="0"/>
          <w:numId w:val="9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прикладные системы</w:t>
      </w:r>
    </w:p>
    <w:p>
      <w:pPr>
        <w:pStyle w:val="Normal"/>
        <w:bidi w:val="0"/>
        <w:ind w:left="720" w:right="0" w:hanging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Массив данных общего пользования в системах, основанных на данных называется БАЗОЙ ДАННЫХ.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БАЗА ДАННЫХ является моделью предметной области информационных систем. 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Предпосылки для создания Прикладных систем:</w:t>
      </w:r>
    </w:p>
    <w:p>
      <w:pPr>
        <w:pStyle w:val="Normal"/>
        <w:numPr>
          <w:ilvl w:val="0"/>
          <w:numId w:val="10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Разработка методов конструирования и эксплуатации систем, предназначенных для коллективного использования.</w:t>
      </w:r>
    </w:p>
    <w:p>
      <w:pPr>
        <w:pStyle w:val="Normal"/>
        <w:numPr>
          <w:ilvl w:val="0"/>
          <w:numId w:val="10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Возможность собирать, хранить и обрабатывать большое количество данных о реальных объектах и явлениях. То есть оснащение этих систем «памятью».</w:t>
      </w:r>
    </w:p>
    <w:p>
      <w:pPr>
        <w:pStyle w:val="Normal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Принципы обработки данных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а) код программы + сегмент данных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б) программа ↔ данные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в) программа → (Описание данных + данные {БД})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  <w:highlight w:val="darkYellow"/>
        </w:rPr>
      </w:pPr>
      <w:r>
        <w:rPr>
          <w:rFonts w:ascii="Times New Roman" w:hAnsi="Times New Roman"/>
          <w:sz w:val="28"/>
          <w:szCs w:val="28"/>
          <w:highlight w:val="darkYellow"/>
        </w:rPr>
        <w:t>Основным принципом организации БД является совместное хранение данных и их описания.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Метаданные — описание данных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Каталог данных (словарь-справочник данных — ССД) — это часть БД, в которых хранятся метаданные.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/>
          <w:bCs/>
          <w:sz w:val="28"/>
          <w:szCs w:val="28"/>
        </w:rPr>
        <w:t>Информация</w:t>
      </w:r>
      <w:r>
        <w:rPr>
          <w:rFonts w:ascii="Times New Roman" w:hAnsi="Times New Roman"/>
          <w:sz w:val="28"/>
          <w:szCs w:val="28"/>
        </w:rPr>
        <w:t xml:space="preserve"> — любые сведения о каком-либо событии, сущности, процессе и т. п., являющиеся объектом некоторых операций: восприятия, передачи, преобразования, хранения или использования.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/>
          <w:bCs/>
          <w:sz w:val="28"/>
          <w:szCs w:val="28"/>
        </w:rPr>
        <w:t>Данные</w:t>
      </w:r>
      <w:r>
        <w:rPr>
          <w:rFonts w:ascii="Times New Roman" w:hAnsi="Times New Roman"/>
          <w:sz w:val="28"/>
          <w:szCs w:val="28"/>
        </w:rPr>
        <w:t xml:space="preserve"> — это информация, зафиксированная в некоторой форме, пригодной для последующей обработки, передачи и хранения, например, находящаяся в памяти ЭВМ или подготовленная для ввода в ЭВМ.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/>
          <w:bCs/>
          <w:sz w:val="28"/>
          <w:szCs w:val="28"/>
        </w:rPr>
        <w:t>Подготовка информации</w:t>
      </w:r>
      <w:r>
        <w:rPr>
          <w:rFonts w:ascii="Times New Roman" w:hAnsi="Times New Roman"/>
          <w:sz w:val="28"/>
          <w:szCs w:val="28"/>
        </w:rPr>
        <w:t xml:space="preserve"> - состоит в ее формализации, сборе и переносе на машинные носители.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/>
          <w:bCs/>
          <w:sz w:val="28"/>
          <w:szCs w:val="28"/>
        </w:rPr>
        <w:t>Обработка данных</w:t>
      </w:r>
      <w:r>
        <w:rPr>
          <w:rFonts w:ascii="Times New Roman" w:hAnsi="Times New Roman"/>
          <w:sz w:val="28"/>
          <w:szCs w:val="28"/>
        </w:rPr>
        <w:t xml:space="preserve"> — совокупность задач. Осуществляющих преобразование массивов данных. Обработка данных включает ввод, перемещение, вывод, в табличном или другом удобном виде.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/>
          <w:bCs/>
          <w:sz w:val="28"/>
          <w:szCs w:val="28"/>
        </w:rPr>
        <w:t>Система обработки данных (СОБ)</w:t>
      </w:r>
      <w:r>
        <w:rPr>
          <w:rFonts w:ascii="Times New Roman" w:hAnsi="Times New Roman"/>
          <w:sz w:val="28"/>
          <w:szCs w:val="28"/>
        </w:rPr>
        <w:t xml:space="preserve"> — набор аппаратных и программных средств, осуществляющих выполнение задач по управлению данными.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/>
          <w:bCs/>
          <w:sz w:val="28"/>
          <w:szCs w:val="28"/>
        </w:rPr>
        <w:t>Управление данными</w:t>
      </w:r>
      <w:r>
        <w:rPr>
          <w:rFonts w:ascii="Times New Roman" w:hAnsi="Times New Roman"/>
          <w:sz w:val="28"/>
          <w:szCs w:val="28"/>
        </w:rPr>
        <w:t xml:space="preserve"> — совокупность функций обеспечения требуемого представления данных. Накопления, хранения, обновления. Удаления, поиска по критерию и выдачи данных.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/>
          <w:bCs/>
          <w:sz w:val="28"/>
          <w:szCs w:val="28"/>
        </w:rPr>
        <w:t xml:space="preserve">Предметная область(ПрО) </w:t>
      </w:r>
      <w:r>
        <w:rPr>
          <w:rFonts w:ascii="Times New Roman" w:hAnsi="Times New Roman"/>
          <w:sz w:val="28"/>
          <w:szCs w:val="28"/>
        </w:rPr>
        <w:t>— часть реального мира, подлежащая изучению с целью организации управления и, в конечном итоге, автоматизации.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/>
          <w:bCs/>
          <w:sz w:val="28"/>
          <w:szCs w:val="28"/>
        </w:rPr>
        <w:t>БД</w:t>
      </w:r>
      <w:r>
        <w:rPr>
          <w:rFonts w:ascii="Times New Roman" w:hAnsi="Times New Roman"/>
          <w:sz w:val="28"/>
          <w:szCs w:val="28"/>
        </w:rPr>
        <w:t xml:space="preserve"> — совокупность данных, организованных по определенным правилам, предусматривающим общие принципы описания, хранения и манипулирования данными, независимая от прикладных программ.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/>
          <w:bCs/>
          <w:sz w:val="28"/>
          <w:szCs w:val="28"/>
        </w:rPr>
        <w:t xml:space="preserve">Ведение БД </w:t>
      </w:r>
      <w:r>
        <w:rPr>
          <w:rFonts w:ascii="Times New Roman" w:hAnsi="Times New Roman"/>
          <w:sz w:val="28"/>
          <w:szCs w:val="28"/>
        </w:rPr>
        <w:t>— деятельность по обновлению, восстановлению, изменению структуры БД с целью обеспечения ее целостности, сохранности и эффективности использования.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/>
          <w:bCs/>
          <w:sz w:val="28"/>
          <w:szCs w:val="28"/>
        </w:rPr>
        <w:t>СУБД</w:t>
      </w:r>
      <w:r>
        <w:rPr>
          <w:rFonts w:ascii="Times New Roman" w:hAnsi="Times New Roman"/>
          <w:sz w:val="28"/>
          <w:szCs w:val="28"/>
        </w:rPr>
        <w:t xml:space="preserve"> — совокупность программ и языковых средств. Предназначенных для управления данными в БД, ведения БД и обеспечения взаимодействия ее с прикладными программами.</w:t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/>
          <w:bCs/>
          <w:sz w:val="28"/>
          <w:szCs w:val="28"/>
        </w:rPr>
        <w:t>АИС</w:t>
      </w:r>
      <w:r>
        <w:rPr>
          <w:rFonts w:ascii="Times New Roman" w:hAnsi="Times New Roman"/>
          <w:sz w:val="28"/>
          <w:szCs w:val="28"/>
        </w:rPr>
        <w:t xml:space="preserve"> — совокупность данных, экономико-математических методов, моделей, технических, программных средств и специалистов, предназначенную для обработки и управления решениями.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Лекция 2. 28.09.21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Спросить у Будилина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Классификация АИС:</w:t>
      </w:r>
    </w:p>
    <w:p>
      <w:pPr>
        <w:pStyle w:val="Normal"/>
        <w:numPr>
          <w:ilvl w:val="0"/>
          <w:numId w:val="11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документальная система</w:t>
      </w:r>
    </w:p>
    <w:p>
      <w:pPr>
        <w:pStyle w:val="Normal"/>
        <w:numPr>
          <w:ilvl w:val="0"/>
          <w:numId w:val="11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фактографическая система</w:t>
      </w:r>
    </w:p>
    <w:p>
      <w:pPr>
        <w:pStyle w:val="Normal"/>
        <w:numPr>
          <w:ilvl w:val="0"/>
          <w:numId w:val="11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системы комбинированного типа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Основные компоненты документальной ИПС:</w:t>
      </w:r>
    </w:p>
    <w:p>
      <w:pPr>
        <w:pStyle w:val="Normal"/>
        <w:numPr>
          <w:ilvl w:val="0"/>
          <w:numId w:val="12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программные средства</w:t>
      </w:r>
    </w:p>
    <w:p>
      <w:pPr>
        <w:pStyle w:val="Normal"/>
        <w:numPr>
          <w:ilvl w:val="0"/>
          <w:numId w:val="12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поисковой массив документов</w:t>
      </w:r>
    </w:p>
    <w:p>
      <w:pPr>
        <w:pStyle w:val="Normal"/>
        <w:numPr>
          <w:ilvl w:val="0"/>
          <w:numId w:val="12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средства поддержки информационного языка системы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Классификация атрибутов: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1) Идентифицирующие (имеют уникальное значение для сущностей данного типа) и описательные атрибуты (их свойства)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2) Составные (комбинация) и простые атрибуты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3) Однозначные и многозначные атрибуты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4) Основные и производные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5) Обязательные и необязательные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Классификация связей по содержательному смыслу (семантики):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numPr>
          <w:ilvl w:val="0"/>
          <w:numId w:val="13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факультативные(обязательные)</w:t>
      </w:r>
    </w:p>
    <w:p>
      <w:pPr>
        <w:pStyle w:val="Normal"/>
        <w:numPr>
          <w:ilvl w:val="0"/>
          <w:numId w:val="13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кардинальные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степень связи — это количество типов сущностей, которые входят в связь.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589780"/>
            <wp:effectExtent l="0" t="0" r="0" b="0"/>
            <wp:wrapSquare wrapText="largest"/>
            <wp:docPr id="4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>Д</w:t>
      </w:r>
      <w:r>
        <w:rPr>
          <w:rFonts w:ascii="Times New Roman" w:hAnsi="Times New Roman"/>
          <w:sz w:val="28"/>
          <w:szCs w:val="28"/>
        </w:rPr>
        <w:t>анные экземпляров сущностей и связей, а также описание типов сущностей и связей образуют метаданные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Актуализация данных — динамическое обновление бд.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Проводится:</w:t>
      </w:r>
    </w:p>
    <w:p>
      <w:pPr>
        <w:pStyle w:val="Normal"/>
        <w:numPr>
          <w:ilvl w:val="0"/>
          <w:numId w:val="14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Вручную (вводит пользователь)</w:t>
      </w:r>
    </w:p>
    <w:p>
      <w:pPr>
        <w:pStyle w:val="Normal"/>
        <w:numPr>
          <w:ilvl w:val="0"/>
          <w:numId w:val="14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Автоматизировано, инициируются пользователем, но выполняется программой</w:t>
      </w:r>
    </w:p>
    <w:p>
      <w:pPr>
        <w:pStyle w:val="Normal"/>
        <w:numPr>
          <w:ilvl w:val="0"/>
          <w:numId w:val="14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автоматическая — поступают в электронном виде и обрабатываются без участия человека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Прикладное программное обеспечение</w:t>
      </w:r>
    </w:p>
    <w:p>
      <w:pPr>
        <w:pStyle w:val="Normal"/>
        <w:bidi w:val="0"/>
        <w:jc w:val="center"/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6">
                <wp:simplePos x="0" y="0"/>
                <wp:positionH relativeFrom="column">
                  <wp:posOffset>2869565</wp:posOffset>
                </wp:positionH>
                <wp:positionV relativeFrom="paragraph">
                  <wp:posOffset>45720</wp:posOffset>
                </wp:positionV>
                <wp:extent cx="450215" cy="640715"/>
                <wp:effectExtent l="0" t="0" r="0" b="0"/>
                <wp:wrapNone/>
                <wp:docPr id="5" name="Фигура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640" cy="64008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707" h="1007">
                              <a:moveTo>
                                <a:pt x="0" y="200"/>
                              </a:moveTo>
                              <a:lnTo>
                                <a:pt x="353" y="0"/>
                              </a:lnTo>
                              <a:lnTo>
                                <a:pt x="706" y="200"/>
                              </a:lnTo>
                              <a:lnTo>
                                <a:pt x="529" y="200"/>
                              </a:lnTo>
                              <a:lnTo>
                                <a:pt x="529" y="805"/>
                              </a:lnTo>
                              <a:lnTo>
                                <a:pt x="706" y="805"/>
                              </a:lnTo>
                              <a:lnTo>
                                <a:pt x="353" y="1006"/>
                              </a:lnTo>
                              <a:lnTo>
                                <a:pt x="0" y="805"/>
                              </a:lnTo>
                              <a:lnTo>
                                <a:pt x="176" y="805"/>
                              </a:lnTo>
                              <a:lnTo>
                                <a:pt x="176" y="200"/>
                              </a:lnTo>
                              <a:lnTo>
                                <a:pt x="0" y="200"/>
                              </a:lnTo>
                            </a:path>
                          </a:pathLst>
                        </a:custGeom>
                        <a:solidFill>
                          <a:srgbClr val="729fcf"/>
                        </a:solidFill>
                        <a:ln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Система управления базами данных</w:t>
      </w:r>
    </w:p>
    <w:p>
      <w:pPr>
        <w:pStyle w:val="Normal"/>
        <w:bidi w:val="0"/>
        <w:jc w:val="center"/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7">
                <wp:simplePos x="0" y="0"/>
                <wp:positionH relativeFrom="column">
                  <wp:posOffset>2793365</wp:posOffset>
                </wp:positionH>
                <wp:positionV relativeFrom="paragraph">
                  <wp:posOffset>67945</wp:posOffset>
                </wp:positionV>
                <wp:extent cx="574040" cy="570230"/>
                <wp:effectExtent l="0" t="0" r="0" b="0"/>
                <wp:wrapNone/>
                <wp:docPr id="6" name="Фигура4_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480" cy="56952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902" h="896">
                              <a:moveTo>
                                <a:pt x="0" y="178"/>
                              </a:moveTo>
                              <a:lnTo>
                                <a:pt x="450" y="0"/>
                              </a:lnTo>
                              <a:lnTo>
                                <a:pt x="901" y="178"/>
                              </a:lnTo>
                              <a:lnTo>
                                <a:pt x="675" y="178"/>
                              </a:lnTo>
                              <a:lnTo>
                                <a:pt x="675" y="716"/>
                              </a:lnTo>
                              <a:lnTo>
                                <a:pt x="901" y="716"/>
                              </a:lnTo>
                              <a:lnTo>
                                <a:pt x="450" y="895"/>
                              </a:lnTo>
                              <a:lnTo>
                                <a:pt x="0" y="716"/>
                              </a:lnTo>
                              <a:lnTo>
                                <a:pt x="225" y="716"/>
                              </a:lnTo>
                              <a:lnTo>
                                <a:pt x="225" y="178"/>
                              </a:lnTo>
                              <a:lnTo>
                                <a:pt x="0" y="178"/>
                              </a:lnTo>
                            </a:path>
                          </a:pathLst>
                        </a:custGeom>
                        <a:solidFill>
                          <a:srgbClr val="729fcf"/>
                        </a:solidFill>
                        <a:ln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База данных</w:t>
      </w:r>
    </w:p>
    <w:p>
      <w:pPr>
        <w:pStyle w:val="Normal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Функции СУБД:</w:t>
      </w:r>
    </w:p>
    <w:p>
      <w:pPr>
        <w:pStyle w:val="Normal"/>
        <w:numPr>
          <w:ilvl w:val="0"/>
          <w:numId w:val="15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предоставление доступа к БД прикладному ПО</w:t>
      </w:r>
    </w:p>
    <w:p>
      <w:pPr>
        <w:pStyle w:val="Normal"/>
        <w:numPr>
          <w:ilvl w:val="0"/>
          <w:numId w:val="15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управление хранением и обработкой в БД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Уровни представления данных:</w:t>
      </w:r>
    </w:p>
    <w:p>
      <w:pPr>
        <w:pStyle w:val="Normal"/>
        <w:numPr>
          <w:ilvl w:val="0"/>
          <w:numId w:val="16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Внешний уровень (пользователи с различным уровнем информации)</w:t>
      </w:r>
    </w:p>
    <w:p>
      <w:pPr>
        <w:pStyle w:val="Normal"/>
        <w:numPr>
          <w:ilvl w:val="0"/>
          <w:numId w:val="16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Концептуальный уровень (для единого взгляда на БД, общего для всех его положений независимо от их среды) </w:t>
      </w:r>
    </w:p>
    <w:p>
      <w:pPr>
        <w:pStyle w:val="Normal"/>
        <w:numPr>
          <w:ilvl w:val="0"/>
          <w:numId w:val="16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numPr>
          <w:ilvl w:val="0"/>
          <w:numId w:val="16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(основание — формализованная информационно-логическая модель бд) – концептуальная схема</w:t>
      </w:r>
    </w:p>
    <w:p>
      <w:pPr>
        <w:pStyle w:val="Normal"/>
        <w:numPr>
          <w:ilvl w:val="0"/>
          <w:numId w:val="16"/>
        </w:numPr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Внутренний уровень (поддерживает представления данных в среде хранения и пути доступа к этим данным)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схема БД это описание бд в терминах конкретной модели данных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Схема хранения данных 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sectPr>
          <w:type w:val="nextPage"/>
          <w:pgSz w:w="11906" w:h="16838"/>
          <w:pgMar w:left="1134" w:right="1134" w:header="0" w:top="1134" w:footer="0" w:bottom="1134" w:gutter="0"/>
          <w:pgNumType w:fmt="decimal"/>
          <w:formProt w:val="false"/>
          <w:textDirection w:val="lrTb"/>
          <w:docGrid w:type="default" w:linePitch="600" w:charSpace="32768"/>
        </w:sect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26.10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SQL (Structured Query Language) - это структурированный язык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запросов к реляционным базам данных. Базы данных, основанные на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реляционной модели данных, являются в настоящее время наиболее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широко распространенными вследствие своей простоты и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универсальности метода обработки данных.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b/>
          <w:b/>
          <w:sz w:val="28"/>
          <w:szCs w:val="24"/>
        </w:rPr>
      </w:pPr>
      <w:r>
        <w:rPr>
          <w:rFonts w:cs="Times New Roman" w:ascii="Times New Roman" w:hAnsi="Times New Roman"/>
          <w:b/>
          <w:sz w:val="28"/>
          <w:szCs w:val="24"/>
        </w:rPr>
        <w:t>Основные операции реляционной алгебры</w:t>
      </w:r>
    </w:p>
    <w:p>
      <w:pPr>
        <w:pStyle w:val="Normal"/>
        <w:rPr/>
      </w:pPr>
      <w:r>
        <w:rPr>
          <w:rFonts w:cs="Times New Roman" w:ascii="Times New Roman" w:hAnsi="Times New Roman"/>
          <w:sz w:val="24"/>
          <w:szCs w:val="24"/>
        </w:rPr>
        <w:t xml:space="preserve">1. </w:t>
      </w:r>
      <w:r>
        <w:rPr>
          <w:rFonts w:cs="Times New Roman" w:ascii="Times New Roman" w:hAnsi="Times New Roman"/>
          <w:b/>
          <w:sz w:val="24"/>
          <w:szCs w:val="24"/>
        </w:rPr>
        <w:t>Проекция (project).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Это унарная операция (выполняемая над одним отношением), служащая для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выбора подмножества атрибутов из отношения R. Она уменьшает арность от-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ношения и может уменьшить мощность отношения за счёт исключения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одинаковых кортежей.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Пример 1. Пусть имеется отношение R(A,В.С):</w:t>
      </w:r>
    </w:p>
    <w:p>
      <w:pPr>
        <w:pStyle w:val="Normal"/>
        <w:rPr/>
      </w:pPr>
      <w:r>
        <w:rPr/>
        <w:drawing>
          <wp:inline distT="0" distB="0" distL="0" distR="0">
            <wp:extent cx="5267325" cy="1762125"/>
            <wp:effectExtent l="0" t="0" r="0" b="0"/>
            <wp:docPr id="7" name="Рисунок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hd w:fill="FFFFFF" w:val="clear"/>
        <w:spacing w:lineRule="atLeast" w:line="300" w:before="0" w:after="150"/>
        <w:rPr/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 xml:space="preserve">2. </w:t>
      </w:r>
      <w:r>
        <w:rPr>
          <w:rFonts w:eastAsia="Times New Roman" w:cs="Times New Roman" w:ascii="Times New Roman" w:hAnsi="Times New Roman"/>
          <w:b/>
          <w:color w:val="000000"/>
          <w:sz w:val="24"/>
          <w:szCs w:val="24"/>
          <w:lang w:eastAsia="ru-RU"/>
        </w:rPr>
        <w:t>Селекция (select).</w:t>
      </w:r>
    </w:p>
    <w:p>
      <w:pPr>
        <w:pStyle w:val="Normal"/>
        <w:shd w:fill="FFFFFF" w:val="clear"/>
        <w:spacing w:lineRule="atLeast" w:line="300" w:before="0" w:after="15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>Это унарная операция, результатом которой является подмножество кортежей исходного отношения, соответствующих условиям, которые накладываются на значения определённых атрибутов. Это одна из наиболее часто используемых операций SQL.</w:t>
      </w:r>
    </w:p>
    <w:p>
      <w:pPr>
        <w:pStyle w:val="Normal"/>
        <w:shd w:fill="FFFFFF" w:val="clear"/>
        <w:spacing w:lineRule="atLeast" w:line="300" w:before="0" w:after="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>Пример 2. Для отношения R(A,B,C):</w:t>
      </w:r>
    </w:p>
    <w:p>
      <w:pPr>
        <w:pStyle w:val="Normal"/>
        <w:shd w:fill="FFFFFF" w:val="clear"/>
        <w:spacing w:lineRule="atLeast" w:line="300" w:before="0" w:after="0"/>
        <w:rPr/>
      </w:pPr>
      <w:r>
        <w:rPr/>
        <w:drawing>
          <wp:inline distT="0" distB="0" distL="0" distR="0">
            <wp:extent cx="5257800" cy="1828800"/>
            <wp:effectExtent l="0" t="0" r="0" b="0"/>
            <wp:docPr id="8" name="Рисунок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fill="FFFFFF" w:val="clear"/>
        <w:spacing w:lineRule="atLeast" w:line="300" w:before="0" w:after="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</w:r>
    </w:p>
    <w:p>
      <w:pPr>
        <w:pStyle w:val="Normal"/>
        <w:shd w:fill="FFFFFF" w:val="clear"/>
        <w:spacing w:lineRule="atLeast" w:line="300" w:before="0" w:after="150"/>
        <w:rPr/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 xml:space="preserve">3. </w:t>
      </w:r>
      <w:r>
        <w:rPr>
          <w:rFonts w:eastAsia="Times New Roman" w:cs="Times New Roman" w:ascii="Times New Roman" w:hAnsi="Times New Roman"/>
          <w:b/>
          <w:color w:val="000000"/>
          <w:sz w:val="24"/>
          <w:szCs w:val="24"/>
          <w:lang w:eastAsia="ru-RU"/>
        </w:rPr>
        <w:t>Декартово произведение (cartesian product).</w:t>
      </w:r>
    </w:p>
    <w:p>
      <w:pPr>
        <w:pStyle w:val="Normal"/>
        <w:shd w:fill="FFFFFF" w:val="clear"/>
        <w:spacing w:lineRule="atLeast" w:line="300" w:before="0" w:after="15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>Это бинарная операция над разносхемными отношениями, соответствующая</w:t>
      </w:r>
    </w:p>
    <w:p>
      <w:pPr>
        <w:pStyle w:val="Normal"/>
        <w:shd w:fill="FFFFFF" w:val="clear"/>
        <w:spacing w:lineRule="atLeast" w:line="300" w:before="0" w:after="15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>определению декартова произведения для РМД.</w:t>
      </w:r>
    </w:p>
    <w:p>
      <w:pPr>
        <w:pStyle w:val="Normal"/>
        <w:shd w:fill="FFFFFF" w:val="clear"/>
        <w:spacing w:lineRule="atLeast" w:line="300" w:before="0" w:after="15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>Пример 3. Пусть имеются отношение R(A,B) и отношение S(C,D,E)</w:t>
      </w:r>
    </w:p>
    <w:p>
      <w:pPr>
        <w:pStyle w:val="Normal"/>
        <w:shd w:fill="FFFFFF" w:val="clear"/>
        <w:spacing w:lineRule="atLeast" w:line="300" w:before="0" w:after="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>Тогда декартово произведение R×S будет таким:</w:t>
      </w:r>
    </w:p>
    <w:p>
      <w:pPr>
        <w:pStyle w:val="Normal"/>
        <w:shd w:fill="FFFFFF" w:val="clear"/>
        <w:spacing w:lineRule="atLeast" w:line="300" w:before="0" w:after="0"/>
        <w:rPr/>
      </w:pPr>
      <w:r>
        <w:rPr/>
        <w:drawing>
          <wp:inline distT="0" distB="0" distL="0" distR="0">
            <wp:extent cx="5940425" cy="1983105"/>
            <wp:effectExtent l="0" t="0" r="0" b="0"/>
            <wp:docPr id="9" name="Рисунок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fill="FFFFFF" w:val="clear"/>
        <w:spacing w:lineRule="atLeast" w:line="300" w:before="0" w:after="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br/>
      </w:r>
    </w:p>
    <w:p>
      <w:pPr>
        <w:pStyle w:val="Normal"/>
        <w:shd w:fill="FFFFFF" w:val="clear"/>
        <w:spacing w:lineRule="atLeast" w:line="300" w:before="0" w:after="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</w:r>
    </w:p>
    <w:p>
      <w:pPr>
        <w:pStyle w:val="Normal"/>
        <w:shd w:fill="FFFFFF" w:val="clear"/>
        <w:spacing w:lineRule="atLeast" w:line="300" w:before="0" w:after="150"/>
        <w:rPr/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 xml:space="preserve">4. </w:t>
      </w:r>
      <w:r>
        <w:rPr>
          <w:rFonts w:eastAsia="Times New Roman" w:cs="Times New Roman" w:ascii="Times New Roman" w:hAnsi="Times New Roman"/>
          <w:b/>
          <w:color w:val="000000"/>
          <w:sz w:val="24"/>
          <w:szCs w:val="24"/>
          <w:lang w:eastAsia="ru-RU"/>
        </w:rPr>
        <w:t>Объединение (union).</w:t>
      </w:r>
    </w:p>
    <w:p>
      <w:pPr>
        <w:pStyle w:val="Normal"/>
        <w:shd w:fill="FFFFFF" w:val="clear"/>
        <w:spacing w:lineRule="atLeast" w:line="300" w:before="0" w:after="15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>Объединением двух односхемных отношений R и S называется отношение T = R U S, которое включает в себя все кортежи обоих отношений без повторов.</w:t>
      </w:r>
    </w:p>
    <w:p>
      <w:pPr>
        <w:pStyle w:val="Normal"/>
        <w:shd w:fill="FFFFFF" w:val="clear"/>
        <w:spacing w:lineRule="atLeast" w:line="300" w:before="0" w:after="15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>Примечание: имена полей односхемных отношений могут быть разными, достаточно, чтобы</w:t>
      </w:r>
    </w:p>
    <w:p>
      <w:pPr>
        <w:pStyle w:val="Normal"/>
        <w:shd w:fill="FFFFFF" w:val="clear"/>
        <w:spacing w:lineRule="atLeast" w:line="300" w:before="0" w:after="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>совпадало количество полей и типы данных соответствующих полей.</w:t>
      </w:r>
    </w:p>
    <w:p>
      <w:pPr>
        <w:pStyle w:val="Normal"/>
        <w:shd w:fill="FFFFFF" w:val="clear"/>
        <w:spacing w:lineRule="atLeast" w:line="300" w:before="0" w:after="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</w:r>
    </w:p>
    <w:p>
      <w:pPr>
        <w:pStyle w:val="Normal"/>
        <w:shd w:fill="FFFFFF" w:val="clear"/>
        <w:spacing w:lineRule="atLeast" w:line="300" w:before="0" w:after="150"/>
        <w:rPr/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 xml:space="preserve">5. </w:t>
      </w:r>
      <w:r>
        <w:rPr>
          <w:rFonts w:eastAsia="Times New Roman" w:cs="Times New Roman" w:ascii="Times New Roman" w:hAnsi="Times New Roman"/>
          <w:b/>
          <w:color w:val="000000"/>
          <w:sz w:val="24"/>
          <w:szCs w:val="24"/>
          <w:lang w:eastAsia="ru-RU"/>
        </w:rPr>
        <w:t>Разность (except).</w:t>
      </w:r>
    </w:p>
    <w:p>
      <w:pPr>
        <w:pStyle w:val="Normal"/>
        <w:shd w:fill="FFFFFF" w:val="clear"/>
        <w:spacing w:lineRule="atLeast" w:line="300" w:before="0" w:after="15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>Разностью односхемных отношений R и S называется множество кортежей</w:t>
      </w:r>
    </w:p>
    <w:p>
      <w:pPr>
        <w:pStyle w:val="Normal"/>
        <w:shd w:fill="FFFFFF" w:val="clear"/>
        <w:spacing w:lineRule="atLeast" w:line="300" w:before="0" w:after="15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>R, не входящих в S.</w:t>
      </w:r>
    </w:p>
    <w:p>
      <w:pPr>
        <w:pStyle w:val="Normal"/>
        <w:shd w:fill="FFFFFF" w:val="clear"/>
        <w:spacing w:lineRule="atLeast" w:line="300" w:before="0" w:after="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>Пример 4. Пусть имеются отношение R(A,В,С) и отношение S(A,B,C):</w:t>
      </w:r>
    </w:p>
    <w:p>
      <w:pPr>
        <w:pStyle w:val="Normal"/>
        <w:shd w:fill="FFFFFF" w:val="clear"/>
        <w:spacing w:lineRule="atLeast" w:line="300" w:before="0" w:after="0"/>
        <w:rPr/>
      </w:pPr>
      <w:r>
        <w:rPr/>
        <w:drawing>
          <wp:inline distT="0" distB="0" distL="0" distR="0">
            <wp:extent cx="5452110" cy="1536065"/>
            <wp:effectExtent l="0" t="0" r="0" b="0"/>
            <wp:docPr id="10" name="Рисунок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211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fill="FFFFFF" w:val="clear"/>
        <w:spacing w:lineRule="atLeast" w:line="300" w:before="0" w:after="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</w:r>
    </w:p>
    <w:p>
      <w:pPr>
        <w:pStyle w:val="Normal"/>
        <w:shd w:fill="FFFFFF" w:val="clear"/>
        <w:spacing w:lineRule="atLeast" w:line="300" w:before="0" w:after="150"/>
        <w:rPr/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 xml:space="preserve">6. </w:t>
      </w:r>
      <w:r>
        <w:rPr>
          <w:rFonts w:eastAsia="Times New Roman" w:cs="Times New Roman" w:ascii="Times New Roman" w:hAnsi="Times New Roman"/>
          <w:b/>
          <w:color w:val="000000"/>
          <w:sz w:val="24"/>
          <w:szCs w:val="24"/>
          <w:lang w:eastAsia="ru-RU"/>
        </w:rPr>
        <w:t>Пересечение (intersect).</w:t>
      </w:r>
    </w:p>
    <w:p>
      <w:pPr>
        <w:pStyle w:val="Normal"/>
        <w:shd w:fill="FFFFFF" w:val="clear"/>
        <w:spacing w:lineRule="atLeast" w:line="300" w:before="0" w:after="150"/>
        <w:rPr/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>Пересечение двух односхемных отношений R и S есть подмножество кортежей, принадлежащих обоим отношениям. Это можно выразить через разность:</w:t>
      </w:r>
      <w:r>
        <w:rPr>
          <w:rFonts w:eastAsia="Times New Roman" w:cs="Times New Roman" w:ascii="Times New Roman" w:hAnsi="Times New Roman"/>
          <w:color w:val="000000"/>
          <w:sz w:val="24"/>
          <w:szCs w:val="24"/>
          <w:lang w:val="en-US" w:eastAsia="ru-RU"/>
        </w:rPr>
        <w:t xml:space="preserve"> </w:t>
      </w:r>
    </w:p>
    <w:p>
      <w:pPr>
        <w:pStyle w:val="Normal"/>
        <w:shd w:fill="FFFFFF" w:val="clear"/>
        <w:spacing w:lineRule="atLeast" w:line="300" w:before="0" w:after="15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>RNS - R - (R - S).</w:t>
      </w:r>
    </w:p>
    <w:p>
      <w:pPr>
        <w:pStyle w:val="Normal"/>
        <w:shd w:fill="FFFFFF" w:val="clear"/>
        <w:spacing w:lineRule="atLeast" w:line="300" w:before="0" w:after="150"/>
        <w:rPr>
          <w:rFonts w:ascii="Times New Roman" w:hAnsi="Times New Roman" w:eastAsia="Times New Roman" w:cs="Times New Roman"/>
          <w:b/>
          <w:b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b/>
          <w:color w:val="000000"/>
          <w:sz w:val="24"/>
          <w:szCs w:val="24"/>
          <w:lang w:eastAsia="ru-RU"/>
        </w:rPr>
        <w:t>7. Соединение (join).</w:t>
      </w:r>
    </w:p>
    <w:p>
      <w:pPr>
        <w:pStyle w:val="Normal"/>
        <w:shd w:fill="FFFFFF" w:val="clear"/>
        <w:spacing w:lineRule="atLeast" w:line="300" w:before="0" w:after="15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>Эта операция определяет подмножество декартова произведения двух разно- схемных отношений. Кортеж декартова произведения входит в результирующее отношение, если для атрибутов разных исходных отношений выполняется некоторое условие соединения F. Соединение может быть выражено так:</w:t>
      </w:r>
    </w:p>
    <w:p>
      <w:pPr>
        <w:pStyle w:val="Normal"/>
        <w:shd w:fill="FFFFFF" w:val="clear"/>
        <w:spacing w:lineRule="atLeast" w:line="300" w:before="0" w:after="150"/>
        <w:rPr/>
      </w:pPr>
      <w:r>
        <w:rPr/>
        <w:drawing>
          <wp:inline distT="0" distB="0" distL="0" distR="0">
            <wp:extent cx="1638300" cy="438150"/>
            <wp:effectExtent l="0" t="0" r="0" b="0"/>
            <wp:docPr id="11" name="Рисунок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fill="FFFFFF" w:val="clear"/>
        <w:spacing w:lineRule="atLeast" w:line="300" w:before="0" w:after="0"/>
        <w:rPr/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>Если условием является равенство значений двух атрибутов исходных отношений, такая операция называется эквисоединением. Естественным называется эквисоединение по одинаковым атрибутам исходных отношений</w:t>
      </w: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.</w:t>
      </w:r>
    </w:p>
    <w:p>
      <w:pPr>
        <w:pStyle w:val="Normal"/>
        <w:shd w:fill="FFFFFF" w:val="clear"/>
        <w:spacing w:lineRule="atLeast" w:line="300" w:before="0" w:after="0"/>
        <w:rPr/>
      </w:pPr>
      <w:r>
        <w:rPr/>
        <w:drawing>
          <wp:inline distT="0" distB="0" distL="0" distR="0">
            <wp:extent cx="5940425" cy="2670175"/>
            <wp:effectExtent l="0" t="0" r="0" b="0"/>
            <wp:docPr id="12" name="Рисунок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fill="FFFFFF" w:val="clear"/>
        <w:spacing w:lineRule="atLeast" w:line="300" w:before="0" w:after="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</w:r>
    </w:p>
    <w:p>
      <w:pPr>
        <w:pStyle w:val="Normal"/>
        <w:shd w:fill="FFFFFF" w:val="clear"/>
        <w:spacing w:lineRule="atLeast" w:line="300" w:before="0" w:after="15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>Общие сведения о языке SQL</w:t>
      </w:r>
    </w:p>
    <w:p>
      <w:pPr>
        <w:pStyle w:val="Normal"/>
        <w:shd w:fill="FFFFFF" w:val="clear"/>
        <w:spacing w:lineRule="atLeast" w:line="300" w:before="0" w:after="15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>Язык работы с базами данных должен предоставлять пользователям следующие возможности:</w:t>
      </w:r>
    </w:p>
    <w:p>
      <w:pPr>
        <w:pStyle w:val="Normal"/>
        <w:shd w:fill="FFFFFF" w:val="clear"/>
        <w:spacing w:lineRule="atLeast" w:line="300" w:before="0" w:after="150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>•</w:t>
      </w: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ab/>
        <w:t>создавать базу данных и таблицы с полным описанием их структуры;</w:t>
      </w:r>
    </w:p>
    <w:p>
      <w:pPr>
        <w:pStyle w:val="Normal"/>
        <w:shd w:fill="FFFFFF" w:val="clear"/>
        <w:spacing w:lineRule="atLeast" w:line="300" w:before="0" w:after="150"/>
        <w:ind w:left="705" w:right="0" w:hanging="705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>•</w:t>
      </w: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ab/>
        <w:t>выполнять основные операции манипулирования данными (добавление, изменение, удаление данных);</w:t>
      </w:r>
    </w:p>
    <w:p>
      <w:pPr>
        <w:pStyle w:val="Normal"/>
        <w:shd w:fill="FFFFFF" w:val="clear"/>
        <w:spacing w:lineRule="atLeast" w:line="300" w:before="0" w:after="150"/>
        <w:ind w:left="705" w:right="0" w:hanging="705"/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>•</w:t>
      </w:r>
      <w:r>
        <w:rPr>
          <w:rFonts w:eastAsia="Times New Roman" w:cs="Times New Roman" w:ascii="Times New Roman" w:hAnsi="Times New Roman"/>
          <w:color w:val="000000"/>
          <w:sz w:val="24"/>
          <w:szCs w:val="24"/>
          <w:lang w:eastAsia="ru-RU"/>
        </w:rPr>
        <w:tab/>
        <w:t>выполнять запросы, осуществляющие преобразование данных в необходимую информацию,</w:t>
      </w:r>
    </w:p>
    <w:p>
      <w:pPr>
        <w:pStyle w:val="Normal"/>
        <w:shd w:fill="FFFFFF" w:val="clear"/>
        <w:spacing w:lineRule="atLeast" w:line="300" w:before="0" w:after="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</w:r>
    </w:p>
    <w:p>
      <w:pPr>
        <w:pStyle w:val="Normal"/>
        <w:shd w:fill="FFFFFF" w:val="clear"/>
        <w:spacing w:lineRule="atLeast" w:line="300" w:before="0" w:after="15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Создание базы данных обычно выполняется автоматически при установке самой СУБД, поэтому в данном пособии не рассматривается.</w:t>
      </w:r>
    </w:p>
    <w:p>
      <w:pPr>
        <w:pStyle w:val="Normal"/>
        <w:shd w:fill="FFFFFF" w:val="clear"/>
        <w:spacing w:lineRule="atLeast" w:line="300" w:before="0" w:after="15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Для реализации этих функций SQL включает три группы средств:</w:t>
      </w:r>
    </w:p>
    <w:p>
      <w:pPr>
        <w:pStyle w:val="Normal"/>
        <w:shd w:fill="FFFFFF" w:val="clear"/>
        <w:spacing w:lineRule="atLeast" w:line="300" w:before="0" w:after="0"/>
        <w:rPr/>
      </w:pPr>
      <w:r>
        <w:rPr>
          <w:rFonts w:eastAsia="Times New Roman" w:cs="Helvetica" w:ascii="Helvetica" w:hAnsi="Helvetica"/>
          <w:color w:val="000000"/>
          <w:sz w:val="23"/>
          <w:szCs w:val="23"/>
          <w:lang w:val="en-US" w:eastAsia="ru-RU"/>
        </w:rPr>
        <w:t xml:space="preserve">• </w:t>
      </w:r>
      <w:r>
        <w:rPr>
          <w:rFonts w:eastAsia="Times New Roman" w:cs="Helvetica" w:ascii="Helvetica" w:hAnsi="Helvetica"/>
          <w:color w:val="000000"/>
          <w:sz w:val="23"/>
          <w:szCs w:val="23"/>
          <w:lang w:val="en-US" w:eastAsia="ru-RU"/>
        </w:rPr>
        <w:t xml:space="preserve">DDL (Data Definition Language) - </w:t>
      </w: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язык</w:t>
      </w:r>
      <w:r>
        <w:rPr>
          <w:rFonts w:eastAsia="Times New Roman" w:cs="Helvetica" w:ascii="Helvetica" w:hAnsi="Helvetica"/>
          <w:color w:val="000000"/>
          <w:sz w:val="23"/>
          <w:szCs w:val="23"/>
          <w:lang w:val="en-US" w:eastAsia="ru-RU"/>
        </w:rPr>
        <w:t xml:space="preserve"> </w:t>
      </w: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определения</w:t>
      </w:r>
      <w:r>
        <w:rPr>
          <w:rFonts w:eastAsia="Times New Roman" w:cs="Helvetica" w:ascii="Helvetica" w:hAnsi="Helvetica"/>
          <w:color w:val="000000"/>
          <w:sz w:val="23"/>
          <w:szCs w:val="23"/>
          <w:lang w:val="en-US" w:eastAsia="ru-RU"/>
        </w:rPr>
        <w:t xml:space="preserve"> </w:t>
      </w: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данных</w:t>
      </w:r>
      <w:r>
        <w:rPr>
          <w:rFonts w:eastAsia="Times New Roman" w:cs="Helvetica" w:ascii="Helvetica" w:hAnsi="Helvetica"/>
          <w:color w:val="000000"/>
          <w:sz w:val="23"/>
          <w:szCs w:val="23"/>
          <w:lang w:val="en-US" w:eastAsia="ru-RU"/>
        </w:rPr>
        <w:t>;</w:t>
      </w:r>
    </w:p>
    <w:p>
      <w:pPr>
        <w:pStyle w:val="Normal"/>
        <w:shd w:fill="FFFFFF" w:val="clear"/>
        <w:spacing w:lineRule="atLeast" w:line="300" w:before="0" w:after="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 xml:space="preserve">• </w:t>
      </w: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 xml:space="preserve">DML (Data Manipulation Language) язык манипулирования данными; </w:t>
      </w:r>
    </w:p>
    <w:p>
      <w:pPr>
        <w:pStyle w:val="Normal"/>
        <w:shd w:fill="FFFFFF" w:val="clear"/>
        <w:spacing w:lineRule="atLeast" w:line="300" w:before="0" w:after="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 xml:space="preserve">• </w:t>
      </w: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DCL (Data Control Language) - язык управления данными. По стандарту ANSI подмножество команд DCL является частью DDL.</w:t>
      </w:r>
    </w:p>
    <w:p>
      <w:pPr>
        <w:pStyle w:val="Normal"/>
        <w:shd w:fill="FFFFFF" w:val="clear"/>
        <w:spacing w:lineRule="atLeast" w:line="300" w:before="0" w:after="15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</w:r>
    </w:p>
    <w:p>
      <w:pPr>
        <w:pStyle w:val="Normal"/>
        <w:shd w:fill="FFFFFF" w:val="clear"/>
        <w:spacing w:lineRule="atLeast" w:line="300" w:before="0" w:after="15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По стандарту ANSI подмножество команд DCL является частью DDL.</w:t>
      </w:r>
    </w:p>
    <w:p>
      <w:pPr>
        <w:pStyle w:val="Normal"/>
        <w:shd w:fill="FFFFFF" w:val="clear"/>
        <w:spacing w:lineRule="atLeast" w:line="300" w:before="0" w:after="15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В командах SQL не различаются прописные и строчные буквы (за исключением строчных литералов). Символы и строки символов заключаются в одинарные кавычки, например, 'N', 'учебник'. Однострочные комментарии начинаются с двух минусов (--), многострочные заключаются в символы /* и */.</w:t>
      </w:r>
    </w:p>
    <w:p>
      <w:pPr>
        <w:pStyle w:val="Normal"/>
        <w:shd w:fill="FFFFFF" w:val="clear"/>
        <w:spacing w:lineRule="atLeast" w:line="300" w:before="0" w:after="15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Каждая команда заканчивается символом "." Значения параметров команд, принятые по умолчанию, выделены подчеркиванием, например, ALL.</w:t>
      </w:r>
    </w:p>
    <w:p>
      <w:pPr>
        <w:pStyle w:val="Normal"/>
        <w:shd w:fill="FFFFFF" w:val="clear"/>
        <w:spacing w:lineRule="atLeast" w:line="300" w:before="0" w:after="15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Примечание. Примем следующие обозначения для описания синтаксиса:</w:t>
      </w:r>
    </w:p>
    <w:p>
      <w:pPr>
        <w:pStyle w:val="Normal"/>
        <w:shd w:fill="FFFFFF" w:val="clear"/>
        <w:spacing w:lineRule="atLeast" w:line="300" w:before="0" w:after="15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{} - содержимое скобок рассматривается как единое целое для остальных символов; | | - заменяет слово ИЛИ; содержимое этих скобок является необязательным;</w:t>
      </w:r>
    </w:p>
    <w:p>
      <w:pPr>
        <w:pStyle w:val="Normal"/>
        <w:shd w:fill="FFFFFF" w:val="clear"/>
        <w:spacing w:lineRule="atLeast" w:line="300" w:before="0" w:after="15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&lt; &gt; - содержимое этих скобок заменяется соответствующими ключевыми словами, литералами, идентификаторами или выражениями (в зависимости от контекста);</w:t>
      </w:r>
    </w:p>
    <w:p>
      <w:pPr>
        <w:pStyle w:val="Normal"/>
        <w:shd w:fill="FFFFFF" w:val="clear"/>
        <w:spacing w:lineRule="atLeast" w:line="300" w:before="0" w:after="15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всё, что предшествует этим символам, может повторяться произвольное число раз;</w:t>
      </w:r>
    </w:p>
    <w:p>
      <w:pPr>
        <w:pStyle w:val="Normal"/>
        <w:shd w:fill="FFFFFF" w:val="clear"/>
        <w:spacing w:lineRule="atLeast" w:line="300" w:before="0" w:after="15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всё, что предшествует этим символам, может повторяться произвольное число раз, каждое вхождение отделяется занятой.</w:t>
      </w:r>
    </w:p>
    <w:p>
      <w:pPr>
        <w:pStyle w:val="Normal"/>
        <w:shd w:fill="FFFFFF" w:val="clear"/>
        <w:spacing w:lineRule="atLeast" w:line="300" w:before="0" w:after="15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Создание таблиц</w:t>
      </w:r>
    </w:p>
    <w:p>
      <w:pPr>
        <w:pStyle w:val="Normal"/>
        <w:shd w:fill="FFFFFF" w:val="clear"/>
        <w:spacing w:lineRule="atLeast" w:line="300" w:before="0" w:after="15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Создание нового пустого отношения (таблицы) выполняется с помон</w:t>
      </w:r>
    </w:p>
    <w:p>
      <w:pPr>
        <w:pStyle w:val="Normal"/>
        <w:shd w:fill="FFFFFF" w:val="clear"/>
        <w:spacing w:lineRule="atLeast" w:line="300" w:before="0" w:after="15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команды DDL CREATE TABLE. Упрощённый синтаксис этой команды:</w:t>
      </w:r>
    </w:p>
    <w:p>
      <w:pPr>
        <w:pStyle w:val="Normal"/>
        <w:shd w:fill="FFFFFF" w:val="clear"/>
        <w:spacing w:lineRule="atLeast" w:line="300" w:before="0" w:after="15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CREATE TABLE &lt;имя таблицы&gt;</w:t>
      </w:r>
    </w:p>
    <w:p>
      <w:pPr>
        <w:pStyle w:val="Normal"/>
        <w:shd w:fill="FFFFFF" w:val="clear"/>
        <w:spacing w:lineRule="atLeast" w:line="300" w:before="0" w:after="15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( &lt;имя поля1&gt; &lt;тип данных&gt; [ (&lt;размер&gt;) ]</w:t>
      </w:r>
    </w:p>
    <w:p>
      <w:pPr>
        <w:pStyle w:val="Normal"/>
        <w:shd w:fill="FFFFFF" w:val="clear"/>
        <w:spacing w:lineRule="atLeast" w:line="300" w:before="0" w:after="15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 xml:space="preserve">[ [NOT] NULL] [DEFAULT &lt;выражение&gt; ] </w:t>
      </w:r>
    </w:p>
    <w:p>
      <w:pPr>
        <w:pStyle w:val="Normal"/>
        <w:shd w:fill="FFFFFF" w:val="clear"/>
        <w:spacing w:lineRule="atLeast" w:line="300" w:before="0" w:after="15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[&lt;ограничения целостности поля&gt;…]</w:t>
      </w:r>
    </w:p>
    <w:p>
      <w:pPr>
        <w:pStyle w:val="Normal"/>
        <w:shd w:fill="FFFFFF" w:val="clear"/>
        <w:spacing w:lineRule="atLeast" w:line="300" w:before="0" w:after="15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[, &lt;имя поля2&gt; &lt;тип данных&gt; [ (&lt;размер&gt;) ]</w:t>
      </w:r>
    </w:p>
    <w:p>
      <w:pPr>
        <w:pStyle w:val="Normal"/>
        <w:shd w:fill="FFFFFF" w:val="clear"/>
        <w:spacing w:lineRule="atLeast" w:line="300" w:before="0" w:after="15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[ [NOT] NULL] [DEFAULT &lt;выражение&gt; ]</w:t>
      </w:r>
    </w:p>
    <w:p>
      <w:pPr>
        <w:pStyle w:val="Normal"/>
        <w:shd w:fill="FFFFFF" w:val="clear"/>
        <w:spacing w:lineRule="atLeast" w:line="300" w:before="0" w:after="150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 xml:space="preserve"> </w:t>
      </w: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[&lt;ограничения целостности поля&gt;] …]</w:t>
      </w:r>
    </w:p>
    <w:p>
      <w:pPr>
        <w:pStyle w:val="Normal"/>
        <w:shd w:fill="FFFFFF" w:val="clear"/>
        <w:bidi w:val="0"/>
        <w:spacing w:lineRule="atLeast" w:line="300" w:before="0" w:after="0"/>
        <w:jc w:val="left"/>
        <w:rPr>
          <w:rFonts w:ascii="Helvetica" w:hAnsi="Helvetica" w:eastAsia="Times New Roman" w:cs="Helvetica"/>
          <w:color w:val="000000"/>
          <w:sz w:val="23"/>
          <w:szCs w:val="23"/>
          <w:lang w:eastAsia="ru-RU"/>
        </w:rPr>
      </w:pPr>
      <w:r>
        <w:rPr>
          <w:rFonts w:eastAsia="Times New Roman" w:cs="Helvetica" w:ascii="Helvetica" w:hAnsi="Helvetica"/>
          <w:color w:val="000000"/>
          <w:sz w:val="23"/>
          <w:szCs w:val="23"/>
          <w:lang w:eastAsia="ru-RU"/>
        </w:rPr>
        <w:t>[, &lt;ограничения целостности таблицы&gt;] );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Если размер поля не указан, то принимается значение, принятое в данной СУБД по умолчанию для указанного типа. Для всех СУБД точность для числовых типов по умолчанию равна 0, размер поля типа CHAR по умолчанию равен 1, а для типа VARCHAR размер указывать обязательно.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Для типа DATE поддерживается арифметика дат, например: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(&lt;текущая дата&gt; + 1) - завтра (&lt;дата1&gt; - &lt;дата2&gt;) - количество дней, прошедших между двумя датами; (&lt;текущая дата&gt; + 1/24) - через час (для типа дата-время).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Получить текущую дату можно с помощью специальной функции, имя которой зависит от СУБД: sysdate - для Oracle; now() - для Access и MySQL; getdate() - для MS SQL Server и т. д.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25400</wp:posOffset>
            </wp:positionH>
            <wp:positionV relativeFrom="paragraph">
              <wp:posOffset>125095</wp:posOffset>
            </wp:positionV>
            <wp:extent cx="2280285" cy="1710055"/>
            <wp:effectExtent l="0" t="0" r="0" b="0"/>
            <wp:wrapTopAndBottom/>
            <wp:docPr id="13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285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-12065</wp:posOffset>
            </wp:positionH>
            <wp:positionV relativeFrom="paragraph">
              <wp:posOffset>104140</wp:posOffset>
            </wp:positionV>
            <wp:extent cx="2467610" cy="3289300"/>
            <wp:effectExtent l="0" t="0" r="0" b="0"/>
            <wp:wrapTopAndBottom/>
            <wp:docPr id="14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6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Д</w:t>
      </w: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ля любого поля с помощью конструкции DEFAULT &lt;выражение&gt; может быть задано значение по умолчанию. Оно используется в тех случаях, когда при добавлении данных в таблицу значение этого поля не указывается.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Для ограничений целостности можно задавать имена: CONSTRIVNT &lt;имя&gt; &lt;ограничение целостности&gt;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73025</wp:posOffset>
            </wp:positionH>
            <wp:positionV relativeFrom="paragraph">
              <wp:posOffset>81280</wp:posOffset>
            </wp:positionV>
            <wp:extent cx="2602865" cy="1951990"/>
            <wp:effectExtent l="0" t="0" r="0" b="0"/>
            <wp:wrapTopAndBottom/>
            <wp:docPr id="15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865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-54610</wp:posOffset>
            </wp:positionH>
            <wp:positionV relativeFrom="paragraph">
              <wp:posOffset>-546100</wp:posOffset>
            </wp:positionV>
            <wp:extent cx="2696845" cy="2022475"/>
            <wp:effectExtent l="0" t="0" r="0" b="0"/>
            <wp:wrapTopAndBottom/>
            <wp:docPr id="16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845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Обратите внимание: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общие ограничения целостности и составные ключи указываются через запятую после последнего поля; если внешний ключ ссылается на первичный ключ (ПК) другого отношения, имена полей ПК можно не указывать (см. создание таблицы етр); типы полей внешнего ключа должны совпадать с типами полей первичного (или уникального) ключа, на который он ссылается; если внешний ключ составной, список полей входящий в ключ, указывается после перечисления всех полей таблицы с ключевым словом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67945</wp:posOffset>
            </wp:positionH>
            <wp:positionV relativeFrom="paragraph">
              <wp:posOffset>123825</wp:posOffset>
            </wp:positionV>
            <wp:extent cx="4288790" cy="3216275"/>
            <wp:effectExtent l="0" t="0" r="0" b="0"/>
            <wp:wrapTopAndBottom/>
            <wp:docPr id="17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79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При выполнении команды создания таблицы в общем случае СУБД дела-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етследующее: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1. Проверяет команду на синтаксическую правильность: если есть ошибки, выдаёт пользователю сообщение о первой выявленной ошибке, иначе переходит к следующему пункту.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2. Проверяет права пользователя, который запустил эту команду: если права на выполнение подобной операции есть, то переходит к следующему пункту, иначе - выдаёт сообщение о недостаточности прав.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3. Записывает в словарь-справочник данных сведения о создаваемой таблице (имя, перечень полей с типами данных, размерами и ограничениями целостности, а также некоторую дополнительную информацию).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15875</wp:posOffset>
            </wp:positionH>
            <wp:positionV relativeFrom="paragraph">
              <wp:posOffset>19050</wp:posOffset>
            </wp:positionV>
            <wp:extent cx="2869565" cy="2152015"/>
            <wp:effectExtent l="0" t="0" r="0" b="0"/>
            <wp:wrapTopAndBottom/>
            <wp:docPr id="18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565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S</w:t>
      </w: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ELECT [ALL | DISTINCT] {* | &lt;СПИСОК ВЫБОРА&gt;}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73025</wp:posOffset>
            </wp:positionH>
            <wp:positionV relativeFrom="paragraph">
              <wp:posOffset>144145</wp:posOffset>
            </wp:positionV>
            <wp:extent cx="3249930" cy="2437130"/>
            <wp:effectExtent l="0" t="0" r="0" b="0"/>
            <wp:wrapTopAndBottom/>
            <wp:docPr id="19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93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spacing w:lineRule="atLeast" w:line="300" w:before="0" w:after="15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Список выбора (вывода) определяет схему результата (временной таблицы). Список выбора может быть модифицирован одним из двух ключевых слов: DISTINCT - предикат удаления из результирующей таблицы повторов строк. ALL - предикат, обратный к DISTINCT. Это значение используется по умолча-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нию, его можно не указывать.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Рассмотрим основные предложения (фразы) команды SELECT: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SELECT - после этого ключевого слова указывается список выбора - список выражений, которые будут образовывать результирующую таблицу. Выражению можно сопоставить временный синоним (алиас), который будет названием поля результирующей таблицы, например: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(sal"0.87+bonus) AS salary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Если надо вывести все поля из тех таблиц, к которым обращается данный запрос, можно указать символ *. В этом случае сначала будут выведены поля таблицы, стоящей первой в предложении FROM, затем - второй и т.д. Поля, относящиеся к одной таблице, будут выводиться в том порядке, в каком они были указаны при создании таблицы.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FROM - в этой части указывается имя таблицы (имена таблиц), из которой бу-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дут извлекаться данные.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WHERE - эта часть содержит условия выбора отдельных записей.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</w:r>
    </w:p>
    <w:p>
      <w:pPr>
        <w:pStyle w:val="Normal"/>
        <w:widowControl/>
        <w:spacing w:lineRule="atLeast" w:line="300" w:before="0" w:after="15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GROUP BY - объединяет в одну группу все записи с одинаковым значением указанного поля (комбинации полей). Каждой такой группе в результи- рующей таблице соответствует одна запись.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HAVING - позволяет указать условия выбора для групп записей. ORDER BY - упорядочивает результирующие строки по значению одного или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нескольких полей: ASC - по возрастанию, DESC - по убыванию.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Порядок выполнения операции SELECT такой: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1. Выбор из указанной во фразе FROM таблицы тех записей, которые удовле-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творяют условию отбора (WHERE).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2. Группировка полученных записей (GROJP BY).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3. Выбор тех групп, которые удовлетворяют условию отбора групп (HAVING).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4. Сортировка записей в указанном порядке (ORDER BY).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5. Извлечение из записей полей, заданных в списке выбора, и формирование</w:t>
      </w:r>
    </w:p>
    <w:p>
      <w:pPr>
        <w:pStyle w:val="Normal"/>
        <w:widowControl/>
        <w:spacing w:lineRule="atLeast" w:line="300" w:before="150" w:after="15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результирующей таблицы.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Если во фразе FROM указаны две и более таблицы, то эта последовательность действий выполняется для декартова произведения указанных таблиц.</w:t>
      </w:r>
    </w:p>
    <w:p>
      <w:pPr>
        <w:pStyle w:val="Normal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posOffset>-10160</wp:posOffset>
            </wp:positionH>
            <wp:positionV relativeFrom="paragraph">
              <wp:posOffset>137160</wp:posOffset>
            </wp:positionV>
            <wp:extent cx="4404360" cy="3302635"/>
            <wp:effectExtent l="0" t="0" r="0" b="0"/>
            <wp:wrapTopAndBottom/>
            <wp:docPr id="20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36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 xml:space="preserve">Хеширование 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для разных значений ключа выдавать два разных адреса.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Виды хеш-функций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1) Метод деления — остаток от деления на M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2) Если М — четная, то при четных К значение h(К) будет четным и наоброт, что дает смещение значений функции для близких значений К. Нельзя брать М кратным основанию системы ссч машины, а также картным трем. М удовлетворяет условию М неравно r^K+-a.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 xml:space="preserve">Разрешение коллизий 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В случае когда для двух или боле ключей задается одинаковый адрес — коллизия. Путем рехеширования — алгоритм, использующийся при новой записи или поиске существующей.</w:t>
      </w:r>
    </w:p>
    <w:p>
      <w:pPr>
        <w:pStyle w:val="Normal"/>
        <w:widowControl/>
        <w:spacing w:lineRule="atLeast" w:line="300" w:before="150" w:after="0"/>
        <w:ind w:left="0" w:right="0" w:hanging="0"/>
        <w:rPr/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 xml:space="preserve">1. Открытая адресация: новая запись вслед за записью на данной странице. </w:t>
      </w:r>
      <w:r>
        <w:rPr>
          <w:rFonts w:eastAsia="Noto Serif CJK SC" w:cs="Lohit Devanagari"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kern w:val="2"/>
          <w:sz w:val="23"/>
          <w:szCs w:val="24"/>
          <w:lang w:val="ru-RU" w:eastAsia="zh-CN" w:bidi="hi-IN"/>
        </w:rPr>
        <w:t>Поиск осуществляется последовательно, откуда следует, что записи нельзя удалять физически (с освобождением памяти), иначе цепочка рехешированных записей прервется и часть записей потеряется.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 w:eastAsia="Noto Serif CJK SC" w:cs="Lohit Devanagari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kern w:val="2"/>
          <w:sz w:val="23"/>
          <w:szCs w:val="24"/>
          <w:lang w:val="ru-RU" w:eastAsia="zh-CN" w:bidi="hi-IN"/>
        </w:rPr>
      </w:pPr>
      <w:r>
        <w:rPr>
          <w:rFonts w:eastAsia="Noto Serif CJK SC" w:cs="Lohit Devanagari"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kern w:val="2"/>
          <w:sz w:val="23"/>
          <w:szCs w:val="24"/>
          <w:lang w:val="ru-RU" w:eastAsia="zh-CN" w:bidi="hi-IN"/>
        </w:rPr>
        <w:t>2. Коллизионные страницы. Новая запись на одной из коллизионных страниц, относящихся к таблице. Для ускорения поиска рехешированных записей используется связання область переполнения. Для которой на странице хранится ссылка на коллизионную страницу. Нулевое значение ссылки — отсутствие коллизий для данных.</w:t>
      </w:r>
    </w:p>
    <w:p>
      <w:pPr>
        <w:pStyle w:val="Normal"/>
        <w:widowControl/>
        <w:spacing w:lineRule="atLeast" w:line="300" w:before="150" w:after="0"/>
        <w:ind w:left="0" w:right="0" w:hanging="0"/>
        <w:rPr/>
      </w:pPr>
      <w:r>
        <w:rPr>
          <w:rFonts w:eastAsia="Noto Serif CJK SC" w:cs="Lohit Devanagari"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kern w:val="2"/>
          <w:sz w:val="23"/>
          <w:szCs w:val="24"/>
          <w:lang w:val="ru-RU" w:eastAsia="zh-CN" w:bidi="hi-IN"/>
        </w:rPr>
        <w:t>3. Многократное хеширование</w:t>
      </w: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 xml:space="preserve"> 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Кластеризация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Кластер — стуктура памяти, в которой хранится набор таблиц.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 xml:space="preserve">Кластерный ключ — поле общих для всех таблиц кластера. Каждая таблица. Хранимая в кластере, должна иметь поля соответствующие типам и размерам полей кластерного ключа. 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Преимущества: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1. Уменьшается время соединения таблиц по значению кластерного ключа.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2. Каждое значение кластерного ключа хранится только один раз, за счет чего достигается экономия памяти.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Кластер создается команда create cluster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Перед занесением данных в таблицы кластера необходимо создавать кластерный инлекс — индекс по кластерному ключу.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create index &lt;name&gt; on cluster &lt;name&gt;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Все плохо, если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1. Данные в кластерном ключе часто обновляются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2. Требуется полный осмотр отдельной таблицы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3. Суммарны данные таблиц с одним и тем же значением кластерного ключа занимают больше одного блока данных.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Многопользовательский доступ к данным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Для запроса выделяется квант времени. По истечении его времени запрос приостанавливается и ставится в очередь, после чего запускается другой запрос.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Транзакция — упорядоченная последовательность.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1. Логическая неделимость — либо все операции в транзакции выполняются, либо ни одной.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2. Согласованность — начинается на согласованном множестве данных и после ее завершения множество данных согласовано.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3. Изолированность — отсутствие влияние транзакций друг на друга.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4. Устойчивость — результаты завершенной транзакции не могут быть потеряны.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Фиксация транзакций — COMMIT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Откат — ROLLBACK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Создание точки сохранения — SAVEPOINT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Журнал транзакций — Часть бд, в которую поступают данные обо всех изменениях всех объектов БД.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Фиксируется: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1. номер транзакции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2. состояние транзакции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3. точки сохранения</w:t>
      </w:r>
    </w:p>
    <w:p>
      <w:pPr>
        <w:pStyle w:val="Normal"/>
        <w:widowControl/>
        <w:spacing w:lineRule="atLeast" w:line="300" w:before="150" w:after="0"/>
        <w:ind w:left="0" w:right="0" w:hanging="0"/>
        <w:rPr/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4. Команды. Составляющие тра</w:t>
      </w: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н</w:t>
      </w: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за</w:t>
      </w: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к</w:t>
      </w: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цию.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  <w:t>Э</w:t>
      </w:r>
    </w:p>
    <w:p>
      <w:pPr>
        <w:pStyle w:val="Normal"/>
        <w:widowControl/>
        <w:spacing w:lineRule="atLeast" w:line="300" w:before="150" w:after="0"/>
        <w:ind w:left="0" w:right="0" w:hanging="0"/>
        <w:rPr>
          <w:rFonts w:ascii="Helvetica;Arial;sans-serif" w:hAnsi="Helvetica;Arial;sans-serif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23"/>
        </w:rPr>
      </w:pPr>
      <w:r>
        <w:rPr>
          <w:rFonts w:ascii="Helvetica;Arial;sans-serif" w:hAnsi="Helvetica;Arial;sans-serif"/>
          <w:b w:val="false"/>
          <w:i w:val="false"/>
          <w:caps w:val="false"/>
          <w:smallCaps w:val="false"/>
          <w:color w:val="000000"/>
          <w:spacing w:val="0"/>
          <w:sz w:val="23"/>
        </w:rPr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  <w:font w:name="Helvetica">
    <w:altName w:val="Arial"/>
    <w:charset w:val="01"/>
    <w:family w:val="roman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800"/>
        </w:tabs>
        <w:ind w:left="18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OpenSymbol" w:hAnsi="OpenSymbol" w:cs="OpenSymbol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0"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2.%3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3.%4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4.%5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5.%6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6.%7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7.%8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8.%9"/>
      <w:lvlJc w:val="left"/>
      <w:pPr>
        <w:tabs>
          <w:tab w:val="num" w:pos="3600"/>
        </w:tabs>
        <w:ind w:left="3600" w:hanging="360"/>
      </w:p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7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w="http://schemas.openxmlformats.org/wordprocessingml/2006/main">
  <w:zoom w:percent="120"/>
  <w:defaultTabStop w:val="709"/>
  <w:autoHyphenation w:val="true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0"/>
        <w:szCs w:val="24"/>
        <w:lang w:val="ru-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kinsoku w:val="true"/>
      <w:overflowPunct w:val="true"/>
      <w:autoSpaceDE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ru-RU" w:eastAsia="zh-CN" w:bidi="hi-IN"/>
    </w:rPr>
  </w:style>
  <w:style w:type="character" w:styleId="Style14">
    <w:name w:val="Маркеры списка"/>
    <w:qFormat/>
    <w:rPr>
      <w:rFonts w:ascii="OpenSymbol" w:hAnsi="OpenSymbol" w:eastAsia="OpenSymbol" w:cs="OpenSymbol"/>
    </w:rPr>
  </w:style>
  <w:style w:type="character" w:styleId="Style15">
    <w:name w:val="Символ нумерации"/>
    <w:qFormat/>
    <w:rPr/>
  </w:style>
  <w:style w:type="character" w:styleId="Style16">
    <w:name w:val="Интернет-ссылка"/>
    <w:rPr>
      <w:color w:val="000080"/>
      <w:u w:val="single"/>
      <w:lang w:val="zxx" w:eastAsia="zxx" w:bidi="zxx"/>
    </w:rPr>
  </w:style>
  <w:style w:type="paragraph" w:styleId="Style17">
    <w:name w:val="Заголовок"/>
    <w:basedOn w:val="Normal"/>
    <w:next w:val="Style18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Style18">
    <w:name w:val="Body Text"/>
    <w:basedOn w:val="Normal"/>
    <w:pPr>
      <w:spacing w:lineRule="auto" w:line="276" w:before="0" w:after="140"/>
    </w:pPr>
    <w:rPr/>
  </w:style>
  <w:style w:type="paragraph" w:styleId="Style19">
    <w:name w:val="List"/>
    <w:basedOn w:val="Style18"/>
    <w:pPr/>
    <w:rPr>
      <w:rFonts w:cs="Lohit Devanagari"/>
    </w:rPr>
  </w:style>
  <w:style w:type="paragraph" w:styleId="Style20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Style21">
    <w:name w:val="Указатель"/>
    <w:basedOn w:val="Normal"/>
    <w:qFormat/>
    <w:pPr>
      <w:suppressLineNumbers/>
    </w:pPr>
    <w:rPr>
      <w:rFonts w:cs="Lohit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numbering" Target="numbering.xml"/><Relationship Id="rId18" Type="http://schemas.openxmlformats.org/officeDocument/2006/relationships/fontTable" Target="fontTable.xml"/><Relationship Id="rId19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74</TotalTime>
  <Application>LibreOffice/6.4.7.2$Linux_X86_64 LibreOffice_project/40$Build-2</Application>
  <Pages>15</Pages>
  <Words>2382</Words>
  <Characters>15576</Characters>
  <CharactersWithSpaces>17704</CharactersWithSpaces>
  <Paragraphs>260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2021-09-14T19:14:38Z</dcterms:created>
  <dc:creator/>
  <dc:description/>
  <dc:language>ru-RU</dc:language>
  <cp:lastModifiedBy/>
  <dcterms:modified xsi:type="dcterms:W3CDTF">2021-12-21T11:59:35Z</dcterms:modified>
  <cp:revision>10</cp:revision>
  <dc:subject/>
  <dc:title/>
</cp:coreProperties>
</file>